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28B73">
      <w:pPr>
        <w:pStyle w:val="1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Style w:val="16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JLRMYY-ZB-2026-0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20</w:t>
      </w:r>
    </w:p>
    <w:p w14:paraId="118688ED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636" w:leftChars="0" w:right="0" w:rightChars="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（一）项目名称：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  <w:vertAlign w:val="baseline"/>
          <w:lang w:val="en-US" w:eastAsia="zh-CN"/>
        </w:rPr>
        <w:t>多参数监护仪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3D4887B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（二）项目要求：</w:t>
      </w:r>
    </w:p>
    <w:p w14:paraId="1092C12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质保：设备免费质保≥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年，所供设备必须在近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年内生产，不得提供库存机。</w:t>
      </w:r>
    </w:p>
    <w:p w14:paraId="12F6172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配置和技术要求：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  </w:t>
      </w:r>
    </w:p>
    <w:p w14:paraId="31B9E0A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提供两款监护仪：</w:t>
      </w:r>
    </w:p>
    <w:p w14:paraId="5B4E45BD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right="0" w:rightChars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（一）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多参数监护仪：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具备3/5导心电，具有心电、呼吸、无创血压、血氧饱和度、脉搏和双通道体温参数监测，以上参数适用于成人、小儿、新生儿患者。可灵活扩展有创血压、心输出量、呼末二氧化碳、麻醉气体监测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。</w:t>
      </w:r>
    </w:p>
    <w:p w14:paraId="30EDAF94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636" w:leftChars="0" w:right="0" w:right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监测参数：</w:t>
      </w:r>
    </w:p>
    <w:p w14:paraId="6C99F97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1、具备3/5导心电，具有心电、呼吸、无创血压、血氧饱和度、脉搏和双通道体温参数监测，以上参数适用于成人、小儿、新生儿患者。可灵活扩展有创血压、心输出量、呼末二氧化碳、麻醉气体监测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。</w:t>
      </w:r>
    </w:p>
    <w:p w14:paraId="66FFF23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2、心电监护支持心率、ST段测量、心律失常分析、QT/QTc连续实时测量和对应报警功能。 </w:t>
      </w:r>
    </w:p>
    <w:p w14:paraId="7B3F579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3、支持多导联ST片段同屏实时显示，提供参考片段与实时片段对比查看功能，可显示心脏不同壁区对应导联的ST变化。 </w:t>
      </w:r>
    </w:p>
    <w:p w14:paraId="3F75B0D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4、支持≥25种心律失常分析，包括房颤及室上性心律失常分析，支持室上性心动过速识别及室上性异位搏动趋势统计。 </w:t>
      </w:r>
    </w:p>
    <w:p w14:paraId="21412BC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5、QT和QTc实时监测参数测量范围：150～800 ms，或覆盖200～800 ms等效范围。 </w:t>
      </w:r>
    </w:p>
    <w:p w14:paraId="1032C7A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6、支持≥3导心电同步分析。 </w:t>
      </w:r>
    </w:p>
    <w:p w14:paraId="7DEDEA4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7、呼吸测量：适用于成人、小儿和新生儿。呼吸测量范围：0-200rpm。 </w:t>
      </w:r>
    </w:p>
    <w:p w14:paraId="6263633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8、支持多种规格血氧探头，探头防护等级≥IPX4，支持清洁和符合规范的消毒方式；或提供达到更高防水等级的探头作为可选配置。 </w:t>
      </w:r>
    </w:p>
    <w:p w14:paraId="4296E20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9、配置无创血压测量，适用于成人，小儿和新生儿。无创血压成人测量范围：收缩压25~260mmHg，或扩展至更高范围。 </w:t>
      </w:r>
    </w:p>
    <w:p w14:paraId="1D01348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10、具有手动、自动、连续、定时间隔及预设序列等多种测量模式，支持动态血压统计回顾功能，统计时长≥24小时。 </w:t>
      </w:r>
    </w:p>
    <w:p w14:paraId="1E479C3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11、具有双通道体温和温差参数的监测，并可根据需要更改体温通道标名。 </w:t>
      </w:r>
    </w:p>
    <w:p w14:paraId="3063F89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12、可升级≥4通道有创压监测，动脉压监测时支持同步监测PPV，适用于成人、小儿和新生儿。 </w:t>
      </w:r>
    </w:p>
    <w:p w14:paraId="1E8F816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13、具有综合监测界面，能够显示ECG、SpO2、IBP、CO2等多种参数测量值和波形。 </w:t>
      </w:r>
    </w:p>
    <w:p w14:paraId="4CB1F66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14、综合监测界面支持目标参数集中显示、参数列表、统计分析及趋势回顾功能，各功能区域可联动查看。</w:t>
      </w:r>
    </w:p>
    <w:p w14:paraId="3F81B56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系统功能： </w:t>
      </w:r>
    </w:p>
    <w:p w14:paraId="24BA0E8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1、支持所有监测参数报警限一键自动设置功能。 </w:t>
      </w:r>
    </w:p>
    <w:p w14:paraId="7371BE3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2、具有≥1000条事件回顾。每条报警事件至少存储≥20秒多导联相关波形（≥2道），以及报警触发时所有测量参数值。 </w:t>
      </w:r>
    </w:p>
    <w:p w14:paraId="44CEE65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3、具有≥1000组NIBP测量结果的存储与回顾，支持扩展存储或外部存储介质导出。 </w:t>
      </w:r>
    </w:p>
    <w:p w14:paraId="01F52D3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4、ST模板存储与回顾时间≥72小时，分辨率≤1分钟，或等效存储容量。 </w:t>
      </w:r>
    </w:p>
    <w:p w14:paraId="7E2F40F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5、配置临床评分系统，至少包括改良早期预警评分(MEWS或等效评分系统)，支持英国早期预警评分(NEWS/NEWS2)或等效国家/国际标准化评分工具。 </w:t>
      </w:r>
    </w:p>
    <w:p w14:paraId="7066E18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6、具有计时器功能，界面区提供设置≥4个计时器，每个计时器支持独立设置和计时功能，计时方向包括正计时和倒计时两种选择。 </w:t>
      </w:r>
    </w:p>
    <w:p w14:paraId="3D41749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7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、具备参数组合报警功能，可对患者同时多个参数变化给出统一报警提示，提供≥5个预设组合报警，并允许自定义≥5个组合报警。</w:t>
      </w:r>
    </w:p>
    <w:p w14:paraId="0A567AB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8、支持有线网络或无线WIFI连接我院中央监护工作站等系统（免费提供接口）。</w:t>
      </w:r>
    </w:p>
    <w:p w14:paraId="021A50D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、配置清单（单台配置） </w:t>
      </w:r>
    </w:p>
    <w:p w14:paraId="50B0350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.1 主机 1台 </w:t>
      </w:r>
    </w:p>
    <w:p w14:paraId="752D77E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.2 序列号标识贴≥2张，或按厂家标准配置提供 </w:t>
      </w:r>
    </w:p>
    <w:p w14:paraId="3492415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.3 3/5导心电主电缆1根，具备除颤防护功能，与主机接口匹配 </w:t>
      </w:r>
    </w:p>
    <w:p w14:paraId="5645F29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.4 与主电缆匹配的导联线1套 </w:t>
      </w:r>
    </w:p>
    <w:p w14:paraId="47C2EC0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.5 心电电极 1包 </w:t>
      </w:r>
    </w:p>
    <w:p w14:paraId="3176BD0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.6 血氧主电缆 1根 </w:t>
      </w:r>
    </w:p>
    <w:p w14:paraId="55E4127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.7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硅胶指套式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血氧传感器 1个 </w:t>
      </w:r>
    </w:p>
    <w:p w14:paraId="1BB7181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.8 无内胆成人袖套 1个 </w:t>
      </w:r>
    </w:p>
    <w:p w14:paraId="0A981AE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.9 无创血压导气管1根，长度满足临床使用需求，与主机及袖套接口匹配</w:t>
      </w:r>
    </w:p>
    <w:p w14:paraId="1A9FE7F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right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p w14:paraId="4DB4E5D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基础款监护仪：具有无创血压、血氧饱和度、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脉搏和体温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参数监测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。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</w:p>
    <w:p w14:paraId="0EE224B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适合成人、小儿、新生儿全年龄段患者生命体征监测，支持点测或连续监测模式</w:t>
      </w:r>
    </w:p>
    <w:p w14:paraId="4971E92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2、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≥10.1 英寸 TFT 彩色触摸显示屏， ≥1280×800 分辨率</w:t>
      </w:r>
    </w:p>
    <w:p w14:paraId="1DCF790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3、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支持监测无创血压、血氧、脉搏、体温、呼气末二氧化碳等参数，支持≥30 个可定制的手动输入参数</w:t>
      </w:r>
    </w:p>
    <w:p w14:paraId="2501774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4、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无创血压支持快速测量模式，测量时间≤25秒，支持血压平均值测量与体位改变血压测量功能</w:t>
      </w:r>
    </w:p>
    <w:p w14:paraId="32E50B0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5、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血氧测量支持主流血氧技术平台，包括但不限于Masimo、Nellcor等主流技术方案，显示PI血流灌注指数</w:t>
      </w:r>
    </w:p>
    <w:p w14:paraId="525A1D3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6、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支持自定义工作模式，灵活调整应用科室、界面布局与参数设置，减少操作时间</w:t>
      </w:r>
    </w:p>
    <w:p w14:paraId="703AEC3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7、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内置可充电锂电池，无需工具快速拆装，最高可支持≥8 小时供电，支持关机延迟</w:t>
      </w:r>
    </w:p>
    <w:p w14:paraId="44C032A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8、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事件回顾数量≥200个，点测模式数据回顾≥5000组，连续监测模式数据回顾≥240小时</w:t>
      </w:r>
    </w:p>
    <w:p w14:paraId="11CC667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9、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可通过有线网络和无线网络无缝集成医院信息系统，通过 HL7 连接医院系统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（免费提供接口）</w:t>
      </w:r>
      <w:bookmarkStart w:id="0" w:name="_GoBack"/>
      <w:bookmarkEnd w:id="0"/>
    </w:p>
    <w:p w14:paraId="3F73EA4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10、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能够与中央监护站集成，同时查看连续监测与点测数据</w:t>
      </w:r>
    </w:p>
    <w:p w14:paraId="7445076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11、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主机外壳采用无缝设计，防水等级≥IPX2，支持主流医用清洁消毒剂，提供消毒剂兼容性说明或测试报告</w:t>
      </w:r>
    </w:p>
    <w:p w14:paraId="1D9B49E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、配置清单（单台配置）</w:t>
      </w:r>
    </w:p>
    <w:p w14:paraId="736B7F5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.1 主机 1台 </w:t>
      </w:r>
    </w:p>
    <w:p w14:paraId="563D409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.2 序列号标识贴≥2张，或按厂家标准配置提供 </w:t>
      </w:r>
    </w:p>
    <w:p w14:paraId="4760AB7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12.6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血氧主电缆 1根 </w:t>
      </w:r>
    </w:p>
    <w:p w14:paraId="19EA752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12.4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硅胶指套式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血氧传感器 1个 </w:t>
      </w:r>
    </w:p>
    <w:p w14:paraId="1063A99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12.5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无内胆成人袖套 1个 </w:t>
      </w:r>
    </w:p>
    <w:p w14:paraId="2915648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12.6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无创血压导气管1根，长度满足临床使用需求，与主机及袖套接口匹配</w:t>
      </w:r>
    </w:p>
    <w:p w14:paraId="1477E67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p w14:paraId="74F0820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8D222C"/>
    <w:multiLevelType w:val="multilevel"/>
    <w:tmpl w:val="978D222C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AA21BA50"/>
    <w:multiLevelType w:val="singleLevel"/>
    <w:tmpl w:val="AA21BA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28F2281"/>
    <w:rsid w:val="095A2C00"/>
    <w:rsid w:val="165A7684"/>
    <w:rsid w:val="1B994114"/>
    <w:rsid w:val="1EF403C4"/>
    <w:rsid w:val="258162DF"/>
    <w:rsid w:val="2E4367C8"/>
    <w:rsid w:val="319305ED"/>
    <w:rsid w:val="3559601B"/>
    <w:rsid w:val="38D77455"/>
    <w:rsid w:val="45C046DC"/>
    <w:rsid w:val="4C250183"/>
    <w:rsid w:val="4FA85C28"/>
    <w:rsid w:val="532375A1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TML Code"/>
    <w:basedOn w:val="15"/>
    <w:qFormat/>
    <w:uiPriority w:val="0"/>
    <w:rPr>
      <w:rFonts w:ascii="Courier New" w:hAnsi="Courier New"/>
      <w:sz w:val="20"/>
    </w:rPr>
  </w:style>
  <w:style w:type="paragraph" w:customStyle="1" w:styleId="18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2026-10-12T07:47:41Z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